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53" w:rsidRDefault="00040A54">
      <w:pPr>
        <w:pStyle w:val="TitleStyle"/>
      </w:pPr>
      <w:r>
        <w:t>Pomoc publiczna udzielana niektórym przedsiębiorcom na realizację nowych inwestycji.</w:t>
      </w:r>
    </w:p>
    <w:p w:rsidR="00373953" w:rsidRDefault="00040A54">
      <w:pPr>
        <w:pStyle w:val="NormalStyle"/>
      </w:pPr>
      <w:r>
        <w:t>Dz.U.2022.2861 z dnia 2022.12.30</w:t>
      </w:r>
    </w:p>
    <w:p w:rsidR="00373953" w:rsidRDefault="00040A54">
      <w:pPr>
        <w:pStyle w:val="NormalStyle"/>
      </w:pPr>
      <w:r>
        <w:t>Status: Akt obowiązujący</w:t>
      </w:r>
    </w:p>
    <w:p w:rsidR="00373953" w:rsidRDefault="00040A54">
      <w:pPr>
        <w:pStyle w:val="NormalStyle"/>
      </w:pPr>
      <w:r>
        <w:t>Wersja od: 30 grudnia 2022r.</w:t>
      </w:r>
    </w:p>
    <w:p w:rsidR="00373953" w:rsidRDefault="00040A54">
      <w:pPr>
        <w:spacing w:after="0"/>
      </w:pPr>
      <w:r>
        <w:br/>
      </w:r>
    </w:p>
    <w:p w:rsidR="00373953" w:rsidRDefault="00040A54">
      <w:pPr>
        <w:spacing w:after="0"/>
      </w:pPr>
      <w:r>
        <w:rPr>
          <w:b/>
          <w:color w:val="000000"/>
        </w:rPr>
        <w:t>Wejście w życie:</w:t>
      </w:r>
    </w:p>
    <w:p w:rsidR="00373953" w:rsidRDefault="00040A54">
      <w:pPr>
        <w:spacing w:after="150"/>
      </w:pPr>
      <w:r>
        <w:rPr>
          <w:color w:val="000000"/>
        </w:rPr>
        <w:t>1 stycznia 2023 r.</w:t>
      </w:r>
    </w:p>
    <w:p w:rsidR="00373953" w:rsidRDefault="00373953">
      <w:pPr>
        <w:spacing w:after="0"/>
      </w:pPr>
    </w:p>
    <w:p w:rsidR="00373953" w:rsidRDefault="00373953" w:rsidP="00040A54">
      <w:pPr>
        <w:spacing w:after="0"/>
      </w:pPr>
    </w:p>
    <w:p w:rsidR="00373953" w:rsidRDefault="00040A54">
      <w:pPr>
        <w:spacing w:before="169" w:after="0"/>
        <w:jc w:val="center"/>
      </w:pPr>
      <w:r>
        <w:rPr>
          <w:b/>
          <w:color w:val="000000"/>
        </w:rPr>
        <w:t>ZAŁĄCZNIK Nr  1</w:t>
      </w:r>
    </w:p>
    <w:p w:rsidR="00327AAD" w:rsidRDefault="00327AAD">
      <w:pPr>
        <w:spacing w:before="25" w:after="0"/>
        <w:jc w:val="both"/>
        <w:rPr>
          <w:b/>
          <w:color w:val="000000"/>
        </w:rPr>
      </w:pPr>
    </w:p>
    <w:p w:rsidR="00327AAD" w:rsidRDefault="00327AAD">
      <w:pPr>
        <w:spacing w:before="25" w:after="0"/>
        <w:jc w:val="both"/>
        <w:rPr>
          <w:b/>
          <w:color w:val="000000"/>
        </w:rPr>
      </w:pPr>
    </w:p>
    <w:p w:rsidR="00327AAD" w:rsidRDefault="00327AAD">
      <w:pPr>
        <w:spacing w:before="25" w:after="0"/>
        <w:jc w:val="both"/>
        <w:rPr>
          <w:b/>
          <w:color w:val="000000"/>
        </w:rPr>
      </w:pPr>
      <w:bookmarkStart w:id="0" w:name="_GoBack"/>
      <w:bookmarkEnd w:id="0"/>
    </w:p>
    <w:p w:rsidR="00373953" w:rsidRDefault="00327AAD">
      <w:pPr>
        <w:spacing w:before="25" w:after="0"/>
        <w:jc w:val="both"/>
      </w:pPr>
      <w:r>
        <w:rPr>
          <w:b/>
          <w:color w:val="000000"/>
        </w:rPr>
        <w:t>T</w:t>
      </w:r>
      <w:r w:rsidR="00040A54">
        <w:rPr>
          <w:b/>
          <w:color w:val="000000"/>
        </w:rPr>
        <w:t>abela nr 2</w:t>
      </w:r>
    </w:p>
    <w:p w:rsidR="00373953" w:rsidRDefault="00040A54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SZCZEGÓŁOWE KRYTERIA JAKOŚCIOWE DLA NOWYCH INWESTYCJI REALIZOWANYCH W SEKTORZE PRZEMYSŁOWYM</w:t>
      </w:r>
    </w:p>
    <w:p w:rsidR="00327AAD" w:rsidRDefault="00327AAD">
      <w:pPr>
        <w:spacing w:before="25" w:after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59"/>
        <w:gridCol w:w="2747"/>
        <w:gridCol w:w="878"/>
        <w:gridCol w:w="2458"/>
      </w:tblGrid>
      <w:tr w:rsidR="00373953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Kryterium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Sposób spełnienia kryterium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Liczba punktów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Sposób weryfikacji spełnienia kryterium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Kryterium zrównoważonego rozwoju gospodarczego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Inwestycja w projekty wspierające branże zgodne z aktualną polityką rozwojową kraju, w których Rzeczpospolita Polska może uzyskać przewagę konkurencyjną, obejmujące inwestycję w ramach sektorów strategicznych zgodnych ze Strategią na rzecz Odpowiedzialnego Rozwoju: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sektor żywności wysokiej jakości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10.3, 10.7, 10.8, 11.07, 17.21, 20.15.3, 20.15.4, 20.15.5, 20.15.6, 20.15.7, 20.15.8, 20.2);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sektor środków transportu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 xml:space="preserve">: 13.96, 20.16.5, 20.17, 22.11, </w:t>
            </w:r>
            <w:r>
              <w:rPr>
                <w:color w:val="000000"/>
              </w:rPr>
              <w:lastRenderedPageBreak/>
              <w:t>22.19.4, 24.42, 25.5, 25.61, 29.1, 29.2, 29.3, 30.2, 33.17);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3) sektor profesjonalnych urządzeń elektrycznych i elektronicznych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20.11, 20.13.23, 20.13.5, 20.13.64, 23.43, 24.41, 24.45, 25.3, 26.1, 26.2, 26.3, 26.51, 26.70.23, 26.70.24, 27.11, 27.12, 27.20.2, 27.31, 27.32, 27.4, 27.9);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4) sektor lotniczo-kosmiczny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30.3, 33.16);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5) sektor produktów higienicznych, leków i wyrobów medycznych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17.22, 20.42,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Oświadczenie przedsiębiorcy złożone we wniosku o wydanie decyzji o wsparciu i weryfikacja w każdym roku okresu utrzymania w zakresie kodu głównego działalności prowadzonej w ramach nowej inwestycji w okresie utrzymania inwestycji (ze wskazaniem klasyfikacji 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).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20.53, 21.1, 21.2, 26.6, 30.92, 32.5);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6) sektor maszynowy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25.73.5, 28.11, 28.12, 28.13, 28.21, 28.22.18, 28.25, 28.29.43, 28.3, 28.4, 28.9, 33.12.2, 33.2);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7) sektor odzysku materiałowego surowców i nowoczesnych tworzyw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20.16.4, 38.3);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8) sektor </w:t>
            </w:r>
            <w:proofErr w:type="spellStart"/>
            <w:r>
              <w:rPr>
                <w:color w:val="000000"/>
              </w:rPr>
              <w:t>ekobudownictwa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31.0, 27.5, 16.21, 16.22, 16.23.11, 17.24, 20.3, 20.52, 22.23.14, 23.11, 23.12, 23.31, 23.42);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9) sektor usług specjalistycznych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62.03, 63.11.11, 70.22.1, 71.1, 72, 74.1);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10) sektor specjalistycznych usług </w:t>
            </w:r>
            <w:r>
              <w:rPr>
                <w:color w:val="000000"/>
              </w:rPr>
              <w:lastRenderedPageBreak/>
              <w:t>teleinformatycznych (</w:t>
            </w:r>
            <w:r>
              <w:rPr>
                <w:color w:val="1B1B1B"/>
              </w:rPr>
              <w:t>PKWiU</w:t>
            </w:r>
            <w:r>
              <w:rPr>
                <w:color w:val="000000"/>
              </w:rPr>
              <w:t>: 58.21, 62.02.2, 62.01 z wyłączeniem 62.01.2)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lub z inteligentnymi specjalizacjami województwa, w którym jest planowana realizacja inwestycji.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Wykorzystanie potencjału zasobów ludzkich.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Aktywizacja zawodowa przez: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tworzenie lub zlecenie utworzenia i prowadzenia podmiotowi zewnętrznemu przyzakładowego żłobka, klubu dziecięcego lub przedszkola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zatrudnienie lub zlecenia zatrudnienia podmiotowi zewnętrznemu przyzakładowego dziennego opiekuna,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3) pokrywanie 80% kosztów związanych z pobytem w żłobku, klubie dziecięcym lub u dziennego opiekuna lub placówce wychowania przedszkolnego, oddziale przedszkolnym w szkole podstawowej, zespole wychowania przedszkolnego, punkcie przedszkolnym dziecka do lat 6, przy założeniu, że minimum 20% wszystkich pracowników zatrudnionych w ramach nowej inwestycji chce korzystać ze świadczenia,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lastRenderedPageBreak/>
              <w:t>4) zatrudnienie w związku z realizacją nowej inwestycji w zakładzie co najmniej 4% osób (w odniesieniu do ogólnej liczby nowo zatrudnionych pracowników) z orzeczeniem o stopniu niepełnosprawności, lecz nie mniej niż jednego pracownika.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i weryfikacja w każdym roku okresu utrzymania, że w okresie utrzymania inwestycji: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będzie prowadził przyzakładowy żłobek, klub dziecięcy lub przedszkole lub zleci jego utworzenie i prowadzenie podmiotowi zewnętrznemu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zatrudni lub zleci zatrudnienie podmiotowi zewnętrznemu przyzakładowego dziennego opiekuna,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3) będzie pokrywać koszty związane z opieką nad dziećmi do lat 6 pracowników zatrudnionych w zakładzie,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4) czy była zatrudniona wskazana w decyzji o wsparciu liczba pracowników z orzeczeniem o stopniu niepełnosprawności.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Tworzenie powiązań regionalnych. Współpraca z dostawcami, kooperantami w ramach realizacji nowej inwestycji.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i weryfikacja, że w ramach nowej inwestycji przekaże w ramach zawartych umów kooperantom środki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trwałe, których łączna wartość w każdym roku utrzymania nowej inwestycji wyniesie 0,5% kosztów kwalifikowanych. Środki te będą wykorzystywane przez kooperantów nienależących do tej samej grupy kapitałowej wyłącznie do wytwarzania produktów niezbędnych w procesie produkcji wynikającym z wydanej decyzji o wsparciu. Ponadto przedsiębiorca w każdym roku utrzymania inwestycji będzie współpracował w ramach nowej inwestycji z co najmniej trzema kooperantami </w:t>
            </w:r>
            <w:r>
              <w:rPr>
                <w:color w:val="000000"/>
              </w:rPr>
              <w:lastRenderedPageBreak/>
              <w:t>prowadzącymi działalność w tym samym podregionie (NUTS 3), w którym realizowana będzie nowa inwestycja.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Robotyzacja i automatyzacja procesów prowadzonych w ramach nowej inwestycji. Zakup w ramach nowej inwestycji co najmniej jednego manipulacyjnego robota przemysłowego (definicja zgodna z normą PN-ENISO 8373:2021), który jest automatycznie sterowaną, programowalną, wielozadaniową maszyną manipulacyjną o wielu stopniach swobody, posiadającą właściwości manipulacyjne lub lokomocyjne, stacjonarną lub mobilną, dla ważnych zastosowań przemysłowych, lub co najmniej jednego innego urządzenia (zgodnie z pozycją 489 KST) stanowiącego zestaw przeprogramowywanych manipulatorów i urządzeń sterujących, służącego do wykonywania funkcji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i weryfikacja, że w każdym roku okresu utrzymania inwestycji utrzyma odpowiednią liczbę robotów przemysłowych lub innych urządzeń zakupionych w ramach nowej inwestycji, co do których zgodność z wymaganą normą będzie potwierdzona stosownym certyfikatem wydanym przez producenta danego robota lub urządzenia. W przypadku innego urządzenia zgodnego z poz. 489 KŚT przedsiębiorca oświadcza, że utrzyma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ruchowych, dysponującego możliwością swobodnego programowania zmian pozycji i kolejności operacji roboczych.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własność co najmniej jednego takiego urządzenia zakupionego w ramach nowej inwestycji.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Koszty związane z zakupem robota lub urządzenia muszą być </w:t>
            </w:r>
            <w:r>
              <w:rPr>
                <w:color w:val="000000"/>
              </w:rPr>
              <w:lastRenderedPageBreak/>
              <w:t>włączone do ewidencji środków trwałych i pozostać w niej przez cały okres utrzymania inwestycji.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Przynależność do Krajowego Klastra Kluczowego wyłonionego w drodze konkursu organizowanego przez ministra właściwego do spraw gospodarki.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wsparciu, że w okresie utrzymania inwestycji będzie należał do Krajowego Klastra Kluczowego.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Prowadzenie działalności badawczo-rozwojowej, gdzie: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1% kosztów działalności ponoszonych przez przedsiębiorcę w zakładzie w danym roku podatkowym stanowią koszty: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a) działalności badawczo-rozwojowej odpowiednio w rozumieniu </w:t>
            </w:r>
            <w:r>
              <w:rPr>
                <w:color w:val="1B1B1B"/>
              </w:rPr>
              <w:t>art. 5a pkt 38</w:t>
            </w:r>
            <w:r>
              <w:rPr>
                <w:color w:val="000000"/>
              </w:rPr>
              <w:t xml:space="preserve"> ustawy z dnia 26 lipca 1991 r. o podatku dochodowym od osób fizycznych lub </w:t>
            </w:r>
            <w:r>
              <w:rPr>
                <w:color w:val="1B1B1B"/>
              </w:rPr>
              <w:t>art. 4a pkt 26</w:t>
            </w:r>
            <w:r>
              <w:rPr>
                <w:color w:val="000000"/>
              </w:rPr>
              <w:t xml:space="preserve"> ustawy z dnia 15 lutego 1992 r. o podatku dochodowym od osób prawnych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b) zakupu usług badawczo-rozwojowych klasyfikowanych do usług w zakresie badań naukowych i prac rozwojowych w rozumieniu przepisów w sprawie polskiej klasyfikacji wyrobów i usług,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2) zatrudnienie w ramach nowej inwestycji pracowników </w:t>
            </w:r>
            <w:r>
              <w:rPr>
                <w:color w:val="000000"/>
              </w:rPr>
              <w:lastRenderedPageBreak/>
              <w:t xml:space="preserve">prowadzących prace rozwojowe odpowiednio w rozumieniu </w:t>
            </w:r>
            <w:r>
              <w:rPr>
                <w:color w:val="1B1B1B"/>
              </w:rPr>
              <w:t>art. 5a pkt 40</w:t>
            </w:r>
            <w:r>
              <w:rPr>
                <w:color w:val="000000"/>
              </w:rPr>
              <w:t xml:space="preserve"> ustawy z dnia 26 lipca 1991 r. o podatku dochodowym od osób fizycznych lub </w:t>
            </w:r>
            <w:r>
              <w:rPr>
                <w:color w:val="1B1B1B"/>
              </w:rPr>
              <w:t>art. 4a pkt 28</w:t>
            </w:r>
            <w:r>
              <w:rPr>
                <w:color w:val="000000"/>
              </w:rPr>
              <w:t xml:space="preserve"> ustawy z dnia 15 lutego 1992 r. o podatku dochodowym od osób prawnych wyniesie 2% ekwiwalentu czasu pracy wszystkich zatrudnionych pracowników.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W zakresie pkt 1: oświadczenie przedsiębiorcy złożone we wniosku o wydanie decyzji o wsparciu i weryfikacja, że w każdym roku okresu utrzymania inwestycji 1% kosztów działalności ponoszonych przez przedsiębiorcę w zakładzie stanowić będą koszty działalności </w:t>
            </w:r>
            <w:proofErr w:type="spellStart"/>
            <w:r>
              <w:rPr>
                <w:color w:val="000000"/>
              </w:rPr>
              <w:t>badawczorozwojowej</w:t>
            </w:r>
            <w:proofErr w:type="spellEnd"/>
            <w:r>
              <w:rPr>
                <w:color w:val="000000"/>
              </w:rPr>
              <w:t xml:space="preserve"> lub zakupu usług badawczo-rozwojowych.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W zakresie pkt 2: oświadczenie przedsiębiorcy złożone we wniosku o wydanie decyzji o wsparciu i weryfikacja, że w każdym roku okresu utrzymania 2% ekwiwalentu czasu pracy wszystkich zatrudnionych pracowników w ramach zakładu przeznaczona zostanie na prace </w:t>
            </w:r>
            <w:r>
              <w:rPr>
                <w:color w:val="000000"/>
              </w:rPr>
              <w:lastRenderedPageBreak/>
              <w:t>rozwojowe.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Nowa inwestycja w odnawialne źródła energii o mocy zapewniającej co najmniej 15% średniorocznego zużycia energii elektrycznej w zakładzie.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i weryfikacja, czy w każdym roku okresu utrzymania inwestycji, co najmniej 15% średniorocznego zużycia energii elektrycznej przedsiębiorcy pochodziło z odnawialnych źródeł energii oraz co najmniej taka ilość energii elektrycznej została wyprodukowana w instalacji OZE powstałej po rozpoczęciu inwestycji.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Posiadanie na dzień złożenia wniosku o wydanie decyzji o wsparciu statusu </w:t>
            </w:r>
            <w:proofErr w:type="spellStart"/>
            <w:r>
              <w:rPr>
                <w:color w:val="000000"/>
              </w:rPr>
              <w:t>mikroprzedsiębiorcy</w:t>
            </w:r>
            <w:proofErr w:type="spellEnd"/>
            <w:r>
              <w:rPr>
                <w:color w:val="000000"/>
              </w:rPr>
              <w:t>, małego przedsiębiorcy albo średniego przedsiębiorcy.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o posiadanym statusie zgodnie ze stanem na dzień złożenia wniosku.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Kryterium zrównoważonego rozwoju społecznego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Utworzenie wyspecjalizowanych miejsc pracy w celu prowadzenia </w:t>
            </w:r>
            <w:r>
              <w:rPr>
                <w:color w:val="000000"/>
              </w:rPr>
              <w:lastRenderedPageBreak/>
              <w:t>działalności gospodarczej objętej nową inwestycją i oferowanie stabilnego zatrudnienia, obejmujące zatrudnienie co najmniej 80% osób: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posiadających wykształcenie wyższe, średnie, średnie branżowe, zasadnicze zawodowe lub zasadnicze branżowe poświadczone dyplomem, świadectwem lub innym dokumentem uprawniającym do wykonywania zawodu, oraz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na podstawie umowy o pracę.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Oświadczenie przedsiębiorcy złożone we wniosku o wydanie </w:t>
            </w:r>
            <w:r>
              <w:rPr>
                <w:color w:val="000000"/>
              </w:rPr>
              <w:lastRenderedPageBreak/>
              <w:t xml:space="preserve">decyzji o wsparciu i weryfikacja, że w każdym roku okresu utrzymania inwestycji co najmniej 80% osób zatrudnionych na nowo utworzonych miej </w:t>
            </w:r>
            <w:proofErr w:type="spellStart"/>
            <w:r>
              <w:rPr>
                <w:color w:val="000000"/>
              </w:rPr>
              <w:t>scach</w:t>
            </w:r>
            <w:proofErr w:type="spellEnd"/>
            <w:r>
              <w:rPr>
                <w:color w:val="000000"/>
              </w:rPr>
              <w:t xml:space="preserve"> pracy w związku z realizacją nowej inwestycji zostanie zatrudnionych na podstawie umowy o pracę (nie wliczając członków zarządu - w przypadku spółek kapitałowych lub wspólników - w przypadku spółek osobowych) oraz że co najmniej 80% nowo zatrudnionych osób do realizacji nowej inwestycji będzie posiadać wykształcenie wyższe, średnie, średnie branżowe, zasadnicze zawodowe lub zasadnicze branżowe, poświadczone dyplomem lub świadectwem, lub innym dokumentem uprawniającym do wykonywania zawodu.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Prowadzenie działalności gospodarczej o niskim negatywnym wpływie na środowisko potwierdzone posiadaniem Certyfikatu EMAS, ETV lub ISO 14001 albo zastępującymi wskazane certyfikaty, dokumentu </w:t>
            </w:r>
            <w:r>
              <w:rPr>
                <w:color w:val="000000"/>
              </w:rPr>
              <w:lastRenderedPageBreak/>
              <w:t xml:space="preserve">poświadczającego posiadanie statusu laureata </w:t>
            </w:r>
            <w:proofErr w:type="spellStart"/>
            <w:r>
              <w:rPr>
                <w:color w:val="000000"/>
              </w:rPr>
              <w:t>GreenEvo</w:t>
            </w:r>
            <w:proofErr w:type="spellEnd"/>
            <w:r>
              <w:rPr>
                <w:color w:val="000000"/>
              </w:rPr>
              <w:t xml:space="preserve"> lub Świadectwa Czystszej Produkcji, lub wpisu do Polskiego Rejestru Czystszej Produkcji i Odpowiedzialnej Przedsiębiorczości.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Oświadczenie przedsiębiorcy złożone we wniosku o wydanie decyzji o wsparciu i weryfikacja, czy przedsiębiorca w okresie utrzymania inwestycji posiada Certyfikat EMAS, ETV lub ISO </w:t>
            </w:r>
            <w:r>
              <w:rPr>
                <w:color w:val="000000"/>
              </w:rPr>
              <w:lastRenderedPageBreak/>
              <w:t xml:space="preserve">14001 albo zastępujący wskazane certyfikaty dokument poświadczający posiadanie statusu laureata </w:t>
            </w:r>
            <w:proofErr w:type="spellStart"/>
            <w:r>
              <w:rPr>
                <w:color w:val="000000"/>
              </w:rPr>
              <w:t>GreenEvo</w:t>
            </w:r>
            <w:proofErr w:type="spellEnd"/>
            <w:r>
              <w:rPr>
                <w:color w:val="000000"/>
              </w:rPr>
              <w:t xml:space="preserve"> lub Świadectwa Czystszej Produkcji, lub wpis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do Polskiego Rejestru Czystszej Produkcji i Odpowiedzialnej Przedsiębiorczości, dotyczący zakładu, w którym została zrealizowana inwestycja.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Zlokalizowanie inwestycji: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1) w mieście średnim tracącym funkcje </w:t>
            </w:r>
            <w:proofErr w:type="spellStart"/>
            <w:r>
              <w:rPr>
                <w:color w:val="000000"/>
              </w:rPr>
              <w:t>społecznogospodarcze</w:t>
            </w:r>
            <w:proofErr w:type="spellEnd"/>
            <w:r>
              <w:rPr>
                <w:color w:val="000000"/>
              </w:rPr>
              <w:t xml:space="preserve"> wymienionym w tabeli nr 3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w gminie, na terenie której położone jest miasto, o którym mowa w pkt 1,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3) w gminie graniczącej z gminą, o której mowa w pkt 2, lub miastem, o którym mowa w pkt 1,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Oświadczenie przedsiębiorcy złożone we wniosku o wydanie decyzji o wsparciu dotyczące lokalizacji inwestycji w okresie jej utrzymania, oceniane odpowiednio na podstawie tabeli nr 3 lub aktualnego obwieszczenia Prezesa GUS ogłaszanego w Dzienniku Urzędowym Rzeczypospolitej Polskiej "Monitor Polski" na podstawie </w:t>
            </w:r>
            <w:r>
              <w:rPr>
                <w:color w:val="1B1B1B"/>
              </w:rPr>
              <w:t>art. 82</w:t>
            </w:r>
            <w:r>
              <w:rPr>
                <w:color w:val="000000"/>
              </w:rPr>
              <w:t xml:space="preserve"> ustawy z dnia 20 kwietnia 2004 r. o promocji zatrudnienia i instytucjach rynku pracy.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Wspieranie zdobywania wykształcenia i kwalifikacji zawodowych oraz </w:t>
            </w:r>
            <w:r>
              <w:rPr>
                <w:color w:val="000000"/>
              </w:rPr>
              <w:lastRenderedPageBreak/>
              <w:t>współpraca ze szkolnictwem branżowym, obejmujące: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oferowanie pracownikom szkoleń mających na celu uzyskanie, uzupełnienie lub doskonalenie umiejętności i kwalifikacji zawodowych lub ogólnych, potrzebnych do wykonywania pracy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dofinansowanie kosztów kształcenia,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3) współpracę z branżowymi szkołami I stopnia, branżowymi szkołami II stopnia, technikami, szkołami policealnymi, centrami kształcenia zawodowego, placówkami kształcenia ustawicznego lub uczelniami, polegającą na organizowaniu praktyk, staży lub szkoleń,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4) oferowanie pozaszkolnych zajęć edukacyjnych mających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5) przekazanie na potrzeby szkoły, centrum kształcenia zawodowego, placówki kształcenia ustawicznego lub uczelni maszyn oraz </w:t>
            </w:r>
            <w:r>
              <w:rPr>
                <w:color w:val="000000"/>
              </w:rPr>
              <w:lastRenderedPageBreak/>
              <w:t>narzędzi,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6) stworzenie klasy patronackiej lub laboratorium, lub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Oświadczenie przedsiębiorcy złożone we wniosku o wydanie </w:t>
            </w:r>
            <w:r>
              <w:rPr>
                <w:color w:val="000000"/>
              </w:rPr>
              <w:t>decyzji o wsparciu i weryfikacja zadeklarowanych w oświadczeniu działań w okresie utrzymania.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W zakresie pkt 1 i 2 przedsiębiorca składa oświadczenie, że w okresie utrzymania inwestycji poniesie koszty szkoleń świadczonych przez podmioty zewnętrzne lub kształcenia w jednostkach oświatowych lub uczelniach w wysokości co najmniej 1000 zł na pracownika na rok, dla co najmniej 50% wszystkich pracowników zatrudnionych w zakładzie, w którym realizowana jest nowa inwestycja. W przypadku szkoleń wewnętrznych przedsiębiorca składa oświadczenie, że w całym okresie utrzymania inwestycji, będzie zatrudniał co najmniej jednego pracownika, w zakresie obowiązków którego znajduje się wyłącznie szkolenie pracowników przedsiębiorcy.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W zakresie pkt 3 przedsiębiorca składa oświadczenie, że zawrze umowę z organem </w:t>
            </w:r>
            <w:r>
              <w:rPr>
                <w:color w:val="000000"/>
              </w:rPr>
              <w:lastRenderedPageBreak/>
              <w:t>prowadzącym szkołę, centrum kształcenia zawodowego lub placówkę kształcenia ustawicznego lub uczelnią, w sprawie prowadzenia 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7) kształcenie dualne, lub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8) prowadzenie przez zatrudnionego pracownika doktoratu wdrożeniowego.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każdym roku w okresie utrzymania inwestycji praktyk, staży lub szkoleń u tego przedsiębiorcy.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W zakresie pkt 4 przedsiębiorca składa oświadczenie, że zawrze umowę z organem prowadzącym szkołę, centrum kształcenia zawodowego lub placówkę kształcenia ustawicznego lub uczelnią, że w każdym roku w okresie utrzymania inwestycji oferować będzie, uczniom lub studentom, finansowane przez przedsiębiorcę pozaszkolne zajęcia edukacyjne, mające na celu uzyskanie, uzupełnienie lub doskonalenie umiejętności i kwalifikacji zawodowych lub ogólnych, potrzebne do wykonywania pracy.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W zakresie pkt 5 przedsiębiorca składa oświadczenie, że zawrze umowę z organem prowadzącym szkołę, </w:t>
            </w:r>
            <w:r>
              <w:rPr>
                <w:color w:val="000000"/>
              </w:rPr>
              <w:lastRenderedPageBreak/>
              <w:t>centrum kształcenia zawodowego lub placówkę kształcenia ustawicznego lub uczelnią, której przedmiotem jest przekazanie, w okresie utrzymania inwestycji, na potrzeby tej szkoły, centrum kształcenia zawodowego, placówki kształcenia ustawicznego lub uczelni, maszyn oraz narzędzi, na podstawie protokołu przekazania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maszyn oraz narzędzi.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W zakresie pkt 6 przedsiębiorca składa oświadczenie, że zawrze umowę z organem prowadzącym szkołę, centrum kształcenia zawodowego lub placówkę kształcenia ustawicznego lub uczelnią, której przedmiotem jest stworzenie w okresie utrzymania inwestycji klasy patronackiej lub laboratorium.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 xml:space="preserve">W zakresie pkt 7 przedsiębiorca składa oświadczenie, że zawrze umowę z organem prowadzącym szkołę, centrum kształcenia zawodowego lub placówkę kształcenia ustawicznego lub uczelnią, że w każdym roku utrzymania </w:t>
            </w:r>
            <w:r>
              <w:rPr>
                <w:color w:val="000000"/>
              </w:rPr>
              <w:lastRenderedPageBreak/>
              <w:t>inwestycji przyjmie uczniów na praktyczną naukę zawodu lub staż lub studentów studiów dualnych na praktyki zawodowe.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W zakresie pkt 8 przedsiębiorca składa oświadczenie, że w okresie utrzymania inwestycji co najmniej jeden z jego pracowników otworzy przewód doktorski w ramach doktoratu wdrożeniowego.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Podejmowanie działań w zakresie opieki nad pracownikiem, w szczególności oferowanie pracownikom: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1) udziału w dodatkowych programach opieki zdrowotnej wykraczających poza świadczenia wymagane przepisami prawa;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2) dodatkowych świadczeń pracowniczych z zakresu różnych form wypoczynku, działalności kulturalno-oświatowej, sportowo-rekreacyjnej, ubezpieczeń.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Oświadczenie przedsiębiorcy złożone we wniosku o wydanie decyzji o wsparciu i weryfikacja, że w okresie utrzymania inwestycji będzie ponosił koszty świadczeń w zakresie opieki nad pracownikiem w wysokości co najmniej 800 zł brutto na pracownika na rok, dla wszystkich pracowników zatrudnionych w zakładzie, w którym realizowana jest nowa inwestycja, w okresie utrzymania inwestycji.</w:t>
            </w:r>
          </w:p>
        </w:tc>
      </w:tr>
    </w:tbl>
    <w:p w:rsidR="00373953" w:rsidRDefault="00040A54">
      <w:pPr>
        <w:spacing w:before="25" w:after="0"/>
        <w:jc w:val="both"/>
      </w:pPr>
      <w:r>
        <w:rPr>
          <w:b/>
          <w:color w:val="000000"/>
        </w:rPr>
        <w:t>Tabela nr 3</w:t>
      </w:r>
    </w:p>
    <w:p w:rsidR="00373953" w:rsidRDefault="00040A54">
      <w:pPr>
        <w:spacing w:before="25" w:after="0"/>
        <w:jc w:val="both"/>
      </w:pPr>
      <w:r>
        <w:rPr>
          <w:b/>
          <w:color w:val="000000"/>
        </w:rPr>
        <w:t>MIASTA ŚREDNIE TRACĄCE FUNKCJE SPOŁECZNO-GOSPODARCZE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9"/>
        <w:gridCol w:w="30"/>
        <w:gridCol w:w="30"/>
        <w:gridCol w:w="1665"/>
        <w:gridCol w:w="96"/>
        <w:gridCol w:w="30"/>
        <w:gridCol w:w="194"/>
        <w:gridCol w:w="114"/>
        <w:gridCol w:w="30"/>
        <w:gridCol w:w="1076"/>
        <w:gridCol w:w="105"/>
        <w:gridCol w:w="30"/>
        <w:gridCol w:w="30"/>
        <w:gridCol w:w="43"/>
        <w:gridCol w:w="30"/>
        <w:gridCol w:w="1221"/>
        <w:gridCol w:w="30"/>
        <w:gridCol w:w="237"/>
        <w:gridCol w:w="954"/>
        <w:gridCol w:w="65"/>
        <w:gridCol w:w="285"/>
        <w:gridCol w:w="30"/>
        <w:gridCol w:w="968"/>
      </w:tblGrid>
      <w:tr w:rsidR="00373953">
        <w:trPr>
          <w:trHeight w:val="45"/>
          <w:tblCellSpacing w:w="0" w:type="auto"/>
        </w:trPr>
        <w:tc>
          <w:tcPr>
            <w:tcW w:w="28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Województwo</w:t>
            </w:r>
          </w:p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Powiat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Lp.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Nazwa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świecki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 wiecie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dolnośląskie</w:t>
            </w:r>
          </w:p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bolesławiecki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Bolesławiec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lubelskie</w:t>
            </w:r>
          </w:p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proofErr w:type="spellStart"/>
            <w:r>
              <w:rPr>
                <w:color w:val="000000"/>
              </w:rPr>
              <w:t>biłgoraj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Biłgoraj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dzierżoniowski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Bielawa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hrubieszowski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Hrubieszów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Dzierżoniów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krasnostawski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Krasnystaw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głogowski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Głogów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kraśnicki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Kraśnik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jaworski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Jawor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lubartowski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Lubartów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kamiennogórski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Kamienna Góra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łukowski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Łuków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kłodzki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Kłodzko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Biała Podlaska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Biała Podlaska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Nowa Ruda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Chełm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Chełm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lubański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Lubań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Zamość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Zamość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Jelenia Góra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Jelenia Góra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radzyński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Radzyń Podlaski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Legnica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Legnica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tomaszowski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Tomaszów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Lubelski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Wałbrzych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Wałbrzych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lubuskie</w:t>
            </w:r>
          </w:p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międzyrzecki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Międzyrzecz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świdnicki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Świdnica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nowosolski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Nowa Sól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Świebodzice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żagański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Żagań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ząbkowicki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Ząbkowice Śląskie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żarski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Żary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zgorzelecki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Zgorzelec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łódzkie</w:t>
            </w:r>
          </w:p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kutnowski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Kutno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proofErr w:type="spellStart"/>
            <w:r>
              <w:rPr>
                <w:color w:val="000000"/>
              </w:rPr>
              <w:t>złotoryj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</w:t>
            </w:r>
            <w:proofErr w:type="spellEnd"/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Złotoryja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łaski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Łask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5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kujawsko-pomorskie</w:t>
            </w:r>
          </w:p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chełmiński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Chełmno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opoczyński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Opoczno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inowrocławski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Inowrocław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radomszczański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Radomsko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Grudziądz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Grudziądz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sieradzki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Sieradz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Włocławek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Włocławek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tomaszowski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Tomaszów Mazowiecki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nakielski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Nakło nad </w:t>
            </w:r>
            <w:r>
              <w:rPr>
                <w:color w:val="000000"/>
              </w:rPr>
              <w:lastRenderedPageBreak/>
              <w:t>Notecią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rypiński</w:t>
            </w:r>
          </w:p>
        </w:tc>
        <w:tc>
          <w:tcPr>
            <w:tcW w:w="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26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Rypin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1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</w:tr>
      <w:tr w:rsidR="00373953">
        <w:trPr>
          <w:trHeight w:val="45"/>
          <w:tblCellSpacing w:w="0" w:type="auto"/>
        </w:trPr>
        <w:tc>
          <w:tcPr>
            <w:tcW w:w="283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wieluński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Wieluń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podkarpackie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dębicki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Dębica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zduńskowolski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Zduńska Wola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jarosławski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Jarosław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zgierski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Ozorków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jasielski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Jasło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3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małopolskie</w:t>
            </w:r>
          </w:p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chrzanowski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Chrzanów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Krosno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Krosno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gorlicki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Gorlice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Przemyśl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Przemyśl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Nowy Sącz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Nowy Sącz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Tarnobrzeg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Tarnobrzeg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Tarnów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Tarnów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mielecki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Mielec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nowotarski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Nowy Targ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niżański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Nisko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tatrzański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Zakopane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przeworski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Przeworsk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3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mazowieckie</w:t>
            </w:r>
          </w:p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ciechanowski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Ciechanów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sanocki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Sanok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gostyniński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Gostynin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stal owo wolski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Stalowa Wola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kozienicki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Kozienice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podlaskie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augustowski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Augustów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Ostrołęka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Ostrołęka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bielski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Bielsk Podlaski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Radom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Radom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grajewski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Grajewo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ostrowski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Ostrów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Mazowiecka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hajnowski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Hajnówka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pułtuski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Pułtusk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Łomża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Łomża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sierpecki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Sierpc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sokolski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Sokółka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3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opolskie</w:t>
            </w:r>
          </w:p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brzeski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Brzeg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zambrowski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Zambrów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proofErr w:type="spellStart"/>
            <w:r>
              <w:rPr>
                <w:color w:val="000000"/>
              </w:rPr>
              <w:t>kędzierzyńskokozielski</w:t>
            </w:r>
            <w:proofErr w:type="spellEnd"/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Kędzierzyn-Koźle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pomorskie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bytowski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Bytów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proofErr w:type="spellStart"/>
            <w:r>
              <w:rPr>
                <w:color w:val="000000"/>
              </w:rPr>
              <w:t>kluczb</w:t>
            </w:r>
            <w:proofErr w:type="spellEnd"/>
            <w:r>
              <w:rPr>
                <w:color w:val="000000"/>
              </w:rPr>
              <w:t xml:space="preserve"> orski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Kluczbork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chojnicki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Chojnice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krapkowicki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Krapkowice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lęborski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Lębork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namysłowski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Namysłów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Słupsk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Słupsk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nyski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Nysa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malborski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Malbork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prudnicki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Prudnik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śląskie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Bytom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Bytom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strzelecki</w:t>
            </w:r>
          </w:p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Strzelce Opolskie</w:t>
            </w:r>
          </w:p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Jastrzębie-Zdrój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Jastrzębie-Zdrój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8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9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6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756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1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Piekary Śląskie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Piekary Śląskie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7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Siemianowice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Śląskie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Siemianowice Śląskie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lidzbarski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118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Lidzbark</w:t>
            </w:r>
          </w:p>
          <w:p w:rsidR="00373953" w:rsidRDefault="00040A54">
            <w:pPr>
              <w:spacing w:before="25" w:after="0"/>
            </w:pPr>
            <w:r>
              <w:rPr>
                <w:color w:val="000000"/>
              </w:rPr>
              <w:t>Warmiński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Sosnowiec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Sosnowiec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Elbląg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Elbląg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Świętochłowice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Świętochłowice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mrągowski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Mrągowo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Zabrze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Zabrze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olecki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Olecko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wodzisławski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Rydułtowy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ostródzki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Ostróda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zawierciański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Zawiercie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piski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123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Pisz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7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świętokrzyskie</w:t>
            </w:r>
          </w:p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buski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103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Busko-Zdrój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szczycieński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124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Szczytno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jędrzejowski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Jędrzejów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wielkopolskie</w:t>
            </w:r>
          </w:p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chodzieski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Chodzież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konecki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Końskie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gnieźnieński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126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Gniezno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ostrowiecki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Ostrowiec Świętokrzyski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kolski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Koło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sandomierski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Sandomierz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m. Konin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Konin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skarżyski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Skarżysko- Kamienna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pilski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Piła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starachowicki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109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Starachowice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ple szewski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Pleszew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staszowski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Staszów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turecki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Turek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72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proofErr w:type="spellStart"/>
            <w:r>
              <w:rPr>
                <w:color w:val="000000"/>
              </w:rPr>
              <w:t>warmińskomazurskie</w:t>
            </w:r>
            <w:proofErr w:type="spellEnd"/>
          </w:p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bartoszycki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Bartoszyce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złotowski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132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Złotów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braniewski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Braniewo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zachodniopomorskie</w:t>
            </w:r>
          </w:p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białogardzki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Białogard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działdowski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Działdowo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choszczeński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Choszczno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ełcki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Ełk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 xml:space="preserve">gry </w:t>
            </w:r>
            <w:proofErr w:type="spellStart"/>
            <w:r>
              <w:rPr>
                <w:color w:val="000000"/>
              </w:rPr>
              <w:t>ficki</w:t>
            </w:r>
            <w:proofErr w:type="spellEnd"/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135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Gryfice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giżycki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Giżycko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stargardzki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Stargard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iławski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Iława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szczecinecki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137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Szczecinek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kętrzyński</w:t>
            </w:r>
          </w:p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Kętrzyn</w:t>
            </w:r>
          </w:p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świdwiński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138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Świdwin</w:t>
            </w:r>
          </w:p>
        </w:tc>
      </w:tr>
      <w:tr w:rsidR="00373953">
        <w:trPr>
          <w:trHeight w:val="45"/>
          <w:tblCellSpacing w:w="0" w:type="auto"/>
        </w:trPr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703" w:type="dxa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72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373953"/>
        </w:tc>
        <w:tc>
          <w:tcPr>
            <w:tcW w:w="2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wałecki</w:t>
            </w:r>
          </w:p>
        </w:tc>
        <w:tc>
          <w:tcPr>
            <w:tcW w:w="1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139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53" w:rsidRDefault="00040A54">
            <w:pPr>
              <w:spacing w:after="0"/>
            </w:pPr>
            <w:r>
              <w:rPr>
                <w:color w:val="000000"/>
              </w:rPr>
              <w:t>Wałcz</w:t>
            </w:r>
          </w:p>
        </w:tc>
      </w:tr>
    </w:tbl>
    <w:p w:rsidR="00373953" w:rsidRDefault="00373953">
      <w:pPr>
        <w:spacing w:after="0"/>
      </w:pPr>
    </w:p>
    <w:p w:rsidR="00373953" w:rsidRDefault="00040A54">
      <w:pPr>
        <w:spacing w:before="169" w:after="0"/>
        <w:jc w:val="center"/>
      </w:pPr>
      <w:r>
        <w:rPr>
          <w:b/>
          <w:color w:val="000000"/>
        </w:rPr>
        <w:t>ZAŁĄCZNIK Nr  2</w:t>
      </w:r>
    </w:p>
    <w:p w:rsidR="00373953" w:rsidRDefault="00040A54">
      <w:pPr>
        <w:spacing w:after="0"/>
        <w:jc w:val="center"/>
      </w:pPr>
      <w:r>
        <w:rPr>
          <w:color w:val="000000"/>
        </w:rPr>
        <w:t>WZÓR</w:t>
      </w:r>
    </w:p>
    <w:p w:rsidR="00373953" w:rsidRDefault="00040A54">
      <w:pPr>
        <w:spacing w:before="25" w:after="0"/>
        <w:jc w:val="center"/>
      </w:pPr>
      <w:r>
        <w:rPr>
          <w:b/>
          <w:color w:val="000000"/>
        </w:rPr>
        <w:t>WNIOSEK O WYDANIE DECYZJI O WSPARCIU</w:t>
      </w:r>
    </w:p>
    <w:p w:rsidR="00373953" w:rsidRDefault="00040A54">
      <w:pPr>
        <w:spacing w:before="25" w:after="0"/>
      </w:pPr>
      <w:r>
        <w:rPr>
          <w:color w:val="1B1B1B"/>
        </w:rPr>
        <w:t>wzór</w:t>
      </w:r>
    </w:p>
    <w:p w:rsidR="00373953" w:rsidRDefault="00040A54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Zmiany wymienionego rozporządzenia zostały ogłoszone w Dz. Urz. UE L 329 z 15.12.2015, str. 28, Dz. Urz. UE L 149 z 07.06.2016, str. 10, Dz. Urz. UE L 156 z 20.06.2017, str. 1, Dz. Urz. UE L 236 z 14.09.2017, str. 28, Dz. Urz. UE L 26 z 31.01.2018, str. 53, Dz. Urz. UE L 215 z 07.07.2020, str. 3 oraz Dz. Urz. UE L 270 z 29.07.2021, str. 39.</w:t>
      </w:r>
    </w:p>
    <w:p w:rsidR="00373953" w:rsidRDefault="00040A54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Zmiany tekstu jednolitego wymienionej ustawy zostały ogłoszone w Dz. U. z 2022 r. poz. 830, 1079, 1383, 1561, 1812, 2140, 2666 i 2754.</w:t>
      </w:r>
    </w:p>
    <w:p w:rsidR="00373953" w:rsidRDefault="00040A54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Zmiany wymienionego rozporządzenia zostały ogłoszone w Dz. Urz. UE L 309 z 25.11.2005, str. 1, Dz. Urz. UE L 39 z 10.02.2007, str. 1, Dz. Urz. UE L 61 z 05.03.2008, str. 1, Dz. Urz. UE L 311 z 21.11.2008, str. 1, Dz. Urz. UE L 13 z 18.01.2011, str. 3, Dz. Urz. UE L 158 z 10.06.2013, str. 1, Dz. Urz. UE L 342 z 18.12.2013, str. 1, Dz. Urz. UE L 241 z 13.08.2014, str. 1, Dz. Urz. UE L 322 z 29.11.2016, str. 1, Dz. Urz. UE L 350 z 29.12.2017, str. 1, Dz. Urz. UE L 205 z 05.08.2019, str. 33 oraz Dz. Urz. UE L 270 z 24.10.2019, str. 1.</w:t>
      </w:r>
    </w:p>
    <w:p w:rsidR="00373953" w:rsidRDefault="00040A54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Rady Ministrów z dnia 28 sierpnia 2018 r. w sprawie pomocy publicznej udzielanej niektórym przedsiębiorcom na realizację nowych inwestycji (Dz. U. poz. 1713 oraz z 2021 r. poz. 2483), które traci moc z dniem wejścia w życie niniejszego rozporządzenia zgodnie z </w:t>
      </w:r>
      <w:r>
        <w:rPr>
          <w:color w:val="1B1B1B"/>
        </w:rPr>
        <w:t>art. 84 ust. 5</w:t>
      </w:r>
      <w:r>
        <w:rPr>
          <w:color w:val="000000"/>
        </w:rPr>
        <w:t xml:space="preserve"> ustawy z dnia 29 października 2021 r. o zmianie ustawy o podatku dochodowym od osób fizycznych, ustawy o </w:t>
      </w:r>
      <w:r>
        <w:rPr>
          <w:color w:val="000000"/>
        </w:rPr>
        <w:lastRenderedPageBreak/>
        <w:t>podatku dochodowym od osób prawnych oraz niektórych innych ustaw (Dz. U. poz. 2105, 2349, 2427 i 2469 oraz z 2022 r. poz. 1265, 1301, 1719 i 2180).</w:t>
      </w:r>
    </w:p>
    <w:sectPr w:rsidR="00373953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6931"/>
    <w:multiLevelType w:val="multilevel"/>
    <w:tmpl w:val="A392A85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73953"/>
    <w:rsid w:val="00040A54"/>
    <w:rsid w:val="000D3FBB"/>
    <w:rsid w:val="00327AAD"/>
    <w:rsid w:val="003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795"/>
  <w15:docId w15:val="{A9980082-5E13-4D42-9223-58574111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3156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Zbigniew Wesołowski</cp:lastModifiedBy>
  <cp:revision>4</cp:revision>
  <dcterms:created xsi:type="dcterms:W3CDTF">2023-02-10T09:47:00Z</dcterms:created>
  <dcterms:modified xsi:type="dcterms:W3CDTF">2023-02-13T15:01:00Z</dcterms:modified>
</cp:coreProperties>
</file>